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0F811E1" w14:textId="0431AB1F" w:rsidR="009B7BFF" w:rsidRPr="00985D69" w:rsidRDefault="00B36BBC" w:rsidP="00E24FC0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</w:t>
      </w:r>
      <w:r w:rsidR="009B7BFF" w:rsidRPr="00985D69">
        <w:rPr>
          <w:rFonts w:asciiTheme="minorHAnsi" w:hAnsiTheme="minorHAnsi" w:cstheme="minorHAnsi"/>
          <w:sz w:val="22"/>
          <w:szCs w:val="22"/>
        </w:rPr>
        <w:t>rozporządzeni</w:t>
      </w:r>
      <w:r>
        <w:rPr>
          <w:rFonts w:asciiTheme="minorHAnsi" w:hAnsiTheme="minorHAnsi" w:cstheme="minorHAnsi"/>
          <w:sz w:val="22"/>
          <w:szCs w:val="22"/>
        </w:rPr>
        <w:t>em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Rady Ministrów z dnia 21 października 2019 r. w sprawie szczegółowego sposobu gospodarowania składnikami rzeczowymi majątku ruchomego Skarbu Państwa (Dz. U. z 202</w:t>
      </w:r>
      <w:r w:rsidR="00A401CC">
        <w:rPr>
          <w:rFonts w:asciiTheme="minorHAnsi" w:hAnsiTheme="minorHAnsi" w:cstheme="minorHAnsi"/>
          <w:sz w:val="22"/>
          <w:szCs w:val="22"/>
        </w:rPr>
        <w:t>5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A401CC">
        <w:rPr>
          <w:rFonts w:asciiTheme="minorHAnsi" w:hAnsiTheme="minorHAnsi" w:cstheme="minorHAnsi"/>
          <w:sz w:val="22"/>
          <w:szCs w:val="22"/>
        </w:rPr>
        <w:t xml:space="preserve">28 </w:t>
      </w:r>
      <w:r w:rsidR="009B7BFF"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9B7BFF"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dzierżawę, nieodpłatnego przekazania lub darowizny – zgodnie z przepisami ww. rozporządzenia Rady Ministrów.</w:t>
      </w:r>
    </w:p>
    <w:p w14:paraId="2A26D32D" w14:textId="4C3A24CD" w:rsidR="00CD7047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62BE8AA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zbędnych lub zużytych składników majątku MFiPR  w drodze sprzedaży będzie najwyższa cena zaproponowana za poszczególne składniki majątku. Warunkiem przejęcia składnika rzeczowego majątku przez nabywcę jest uiszczenie ceny nabycia. 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1402983C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958C0">
        <w:rPr>
          <w:rFonts w:asciiTheme="minorHAnsi" w:hAnsiTheme="minorHAnsi" w:cstheme="minorHAnsi"/>
          <w:b/>
          <w:bCs/>
          <w:sz w:val="22"/>
          <w:szCs w:val="22"/>
        </w:rPr>
        <w:t>16.12.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CF398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72805BF2" w14:textId="68A51931" w:rsidR="00AC5AF3" w:rsidRDefault="009B7BFF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Rozpatrywanie wniosków odbywać się będzie </w:t>
      </w:r>
      <w:r w:rsidR="00F01BBB" w:rsidRPr="00985D69">
        <w:rPr>
          <w:rFonts w:asciiTheme="minorHAnsi" w:hAnsiTheme="minorHAnsi" w:cstheme="minorHAnsi"/>
          <w:sz w:val="22"/>
          <w:szCs w:val="22"/>
        </w:rPr>
        <w:t>w kolejnym dniu roboczym po zakończeniu przyjmowani</w:t>
      </w:r>
      <w:r w:rsidR="00E16575">
        <w:rPr>
          <w:rFonts w:asciiTheme="minorHAnsi" w:hAnsiTheme="minorHAnsi" w:cstheme="minorHAnsi"/>
          <w:sz w:val="22"/>
          <w:szCs w:val="22"/>
        </w:rPr>
        <w:t>a</w:t>
      </w:r>
      <w:r w:rsidR="00F01BBB" w:rsidRPr="00985D69">
        <w:rPr>
          <w:rFonts w:asciiTheme="minorHAnsi" w:hAnsiTheme="minorHAnsi" w:cstheme="minorHAnsi"/>
          <w:sz w:val="22"/>
          <w:szCs w:val="22"/>
        </w:rPr>
        <w:t xml:space="preserve"> wniosków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3958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3958C0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3958C0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54B4A685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D74EC9" w:rsidRPr="00D74EC9">
      <w:rPr>
        <w:rFonts w:asciiTheme="minorHAnsi" w:hAnsiTheme="minorHAnsi" w:cstheme="minorHAnsi"/>
        <w:bCs/>
      </w:rPr>
      <w:t>IK 3399760</w:t>
    </w:r>
  </w:p>
  <w:p w14:paraId="10BE6F24" w14:textId="7EB1789E" w:rsidR="00B86359" w:rsidRPr="003E74E1" w:rsidRDefault="003958C0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958C0"/>
    <w:rsid w:val="003D4E84"/>
    <w:rsid w:val="003E74E1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6E19DB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401CC"/>
    <w:rsid w:val="00AC4DC2"/>
    <w:rsid w:val="00AD3A36"/>
    <w:rsid w:val="00AD7F3B"/>
    <w:rsid w:val="00B36BBC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74EC9"/>
    <w:rsid w:val="00DB64FE"/>
    <w:rsid w:val="00DE38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24</cp:revision>
  <cp:lastPrinted>2024-05-24T11:39:00Z</cp:lastPrinted>
  <dcterms:created xsi:type="dcterms:W3CDTF">2024-05-27T09:59:00Z</dcterms:created>
  <dcterms:modified xsi:type="dcterms:W3CDTF">2025-11-27T13:51:00Z</dcterms:modified>
</cp:coreProperties>
</file>